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VERIFICA CONFORMITÀ’ APPARECCHI COMMA 7C-TER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MOD.3 - SE.XX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b w:val="1"/>
          <w:sz w:val="44"/>
          <w:szCs w:val="44"/>
          <w:highlight w:val="yellow"/>
        </w:rPr>
      </w:pPr>
      <w:r w:rsidDel="00000000" w:rsidR="00000000" w:rsidRPr="00000000">
        <w:rPr>
          <w:b w:val="1"/>
          <w:sz w:val="44"/>
          <w:szCs w:val="44"/>
          <w:highlight w:val="yellow"/>
          <w:rtl w:val="0"/>
        </w:rPr>
        <w:t xml:space="preserve">INSERIRE DENOMINAZIONE APPARECCHIO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APPARECCHIO ELETTRONICO DA TRATTENIMENTO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Conforme all’art. 110,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comma 7C-TER</w:t>
      </w:r>
      <w:r w:rsidDel="00000000" w:rsidR="00000000" w:rsidRPr="00000000">
        <w:rPr>
          <w:b w:val="1"/>
          <w:sz w:val="24"/>
          <w:szCs w:val="24"/>
          <w:rtl w:val="0"/>
        </w:rPr>
        <w:t xml:space="preserve">, del Testo Unico delle leggi di Pubblica Sicurezza</w:t>
      </w:r>
    </w:p>
    <w:p w:rsidR="00000000" w:rsidDel="00000000" w:rsidP="00000000" w:rsidRDefault="00000000" w:rsidRPr="00000000" w14:paraId="00000006">
      <w:pPr>
        <w:keepNext w:val="1"/>
        <w:pageBreakBefore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Linee Guida 273612/RU del 28/07/2021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36"/>
          <w:szCs w:val="36"/>
          <w:highlight w:val="yellow"/>
          <w:rtl w:val="0"/>
        </w:rPr>
        <w:t xml:space="preserve">INSERIRE IMMAGINE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780"/>
        <w:gridCol w:w="1980"/>
        <w:gridCol w:w="2260"/>
        <w:gridCol w:w="2300"/>
        <w:gridCol w:w="1680"/>
        <w:tblGridChange w:id="0">
          <w:tblGrid>
            <w:gridCol w:w="780"/>
            <w:gridCol w:w="1780"/>
            <w:gridCol w:w="1980"/>
            <w:gridCol w:w="2260"/>
            <w:gridCol w:w="230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redazione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Causale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Redazione/Verifica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approvazione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Prima emissione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INSERIRE RIFERIMENTO REDATTORE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INSERIRE RIFERIMENTO APPROVATORE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XX/XX/XXXX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30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gridCol w:w="555"/>
        <w:gridCol w:w="810"/>
        <w:gridCol w:w="855"/>
        <w:gridCol w:w="3120"/>
        <w:tblGridChange w:id="0">
          <w:tblGrid>
            <w:gridCol w:w="9990"/>
            <w:gridCol w:w="555"/>
            <w:gridCol w:w="810"/>
            <w:gridCol w:w="85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Requisiti applicabili a tutti i comma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Note**</w:t>
            </w:r>
          </w:p>
        </w:tc>
      </w:tr>
      <w:tr>
        <w:trPr>
          <w:cantSplit w:val="0"/>
          <w:trHeight w:val="188.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sistema di alloggio supporto contenente il codice identificativo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campi per inserimento codice identificativo dell’apparecchio C7 per ogni intervento su Registro delle manutenzioni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46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scheda esplicativa e il suo estratto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10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riproduzioni di gioco del poker o, comunque, anche in parte, le sue regole fondamentali nonché tutti i giochi che, per modalità similari con quelle consentite dagli apparecchi con vincita in denaro disciplinati dall’art. 110, comma 6 del TULPS, possano indurre una medesima aspettativa di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vincita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numPr>
                <w:ilvl w:val="0"/>
                <w:numId w:val="53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riproduzione di giochi quali roulette, ventuno, sette e mezzo, dadi in tutte le forme, black jack, chemin de fer, baccarat e altri giochi d’azzardo di cui all’art. 110, comma 5 del TULPS o che, comunque, riproducano, anche in parte, le loro regole fondamentali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numPr>
                <w:ilvl w:val="0"/>
                <w:numId w:val="19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classificazione PEGI o sistema equivalente o presenza in scheda esplicativa dell’età minima del giocatore consigliata dal produttore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45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68.6614173228338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presenti funzionalità di aggiornamento a distanza delle memorie elettroniche o collegamenti in rete per operazioni di monitoraggio e controllo nonché, nell’ambito dello svolgimento delle operazioni di gioco, per la formazione di classifiche e per la realizzazione di gioco simultaneo a distanza, assenza di collegamento a reti di telecomunicazioni, ivi inclusa la rete internet, tramite qualsiasi tipo di connessione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57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68.6614173228338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dispositivo a rulli o rulli virtuali atti a visualizzare le fasi di gioco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68.6614173228338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di dispositivi e/o meccanismi che rendono impossibile la modifica, eseguita in modo non conforme o comunque in modo diverso da quanto previsto nella scheda esplicativa delle componenti che determinano il funzionamento, le modalità di gioco o il suo risultato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numPr>
                <w:ilvl w:val="0"/>
                <w:numId w:val="37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168.6614173228338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eventuali punteggi accumulati durante il gioco, tramutabili in crediti a favore del giocatore per ripetizioni di partite né usufruibili in partite successive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62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importo necessario per l’attivazione convertibile in crediti utilizzabili dal giocatore in modo frazionato nelle fasi di gioco intermedie di una singola partita con modalità similari a quelle consentite dagli apparecchi con vincita in denaro disciplinati dall’art. 110, comma 6 del TULPS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numPr>
                <w:ilvl w:val="0"/>
                <w:numId w:val="33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continua in caso di assenza di alimentazione, delle classifiche e/o record conseguiti, inalterate e mostrate anche al riavvio dell’apparecchio C7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numPr>
                <w:ilvl w:val="0"/>
                <w:numId w:val="24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punteggi realizzati al termine della partita visualizzati in ordine crescente o decrescente in base al punteggio e non in base al momento temporale in cui tale punteggio viene realizzato.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numPr>
                <w:ilvl w:val="0"/>
                <w:numId w:val="29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di possibilità di utilizzo di monete in valuta corrente, gettoni o altri strumenti elettronici di pagamento esclusivamente nei casi necessari per l’attivazione e non durante le diverse fasi di gioco o comunque nel corso della partita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numPr>
                <w:ilvl w:val="0"/>
                <w:numId w:val="13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sistemi che rendano visibili al proprio interno, monete o denaro in valuta corrente o altri oggetti che possano indurre un’aspettativa di vincita al giocatore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numPr>
                <w:ilvl w:val="0"/>
                <w:numId w:val="40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Assenza, ad eccezione di quanto previsto all’art. 5, comma 2, lettera d) del Decreto Regole Tecniche, di eventuali classifiche e/o record conseguiti dal giocatore presenti sull’apparecchio C7 non azzerabili se non a seguito di un intervento di manutenzione straordinaria dell’apparecchio C7; tale intervento deve sempre essere inserito nel registro delle manutenzioni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di interfacce e/o porte di comunicazione presenti sulla scheda di gioco, ove presente, utilizzate: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dal software necessario al funzionamento del programma di gioco;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dai dispositivi necessari per consentire al giocatore di azionare, pilotare e/o interagire con l’apparecchio C7;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dalle funzionalità di aggiornamento delle memorie elettroniche attraverso i meccanismi predefiniti dal produttore e descritti dettagliatamente nella documentazione tecnica di cui all’art. 8 del Decreto Regole Tecniche;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dalle funzionalità previste all’art. 5, comma 2, lettera d) del Decreto Regole Tecniche per le operazioni di monitoraggio e controllo nonché, nell’ambito dello svolgimento delle operazioni di gioco, per la formazione di classifiche e per la realizzazione di gioco simultaneo a distanza, ivi incluse le operazioni ad esse connesse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numPr>
                <w:ilvl w:val="0"/>
                <w:numId w:val="52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26.929133858268415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di eventuali ulteriori interfacce e/o porte di comunicazione presenti sulla scheda di gioco, ove presente, non eliminabili fisicamente dalla scheda stessa rese permanentemente inaccessibili, attraverso idonei meccanismi hardwar e/o software, al fine di impedirne l’utilizzo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numPr>
                <w:ilvl w:val="0"/>
                <w:numId w:val="61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di congegni che prevedono il blocco del funzionamento in caso di manomissione o, in alternativa, l’impiego di dispositivi e/o meccanismi che impediscano l’accesso alle componenti e ne segnalino le manomissioni, anche solo tentate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numPr>
                <w:ilvl w:val="0"/>
                <w:numId w:val="56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immagini o contenuti contrari all’ordine pubblico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numPr>
                <w:ilvl w:val="0"/>
                <w:numId w:val="28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violazione di quanto disposto dalla vigente normativa in materia di diritti d’autore, marchi e brevetti, e ed assenza di testi, elementi grafici, audio e/o ideo propri dei regolamenti dei giochi autorizzati e/o affidati in concessione da ADM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numPr>
                <w:ilvl w:val="0"/>
                <w:numId w:val="35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funzionalità riconducibili alle manifestazioni a premio disciplinate dal regolamento di cui al D.P.R. 26 ottobre 2001, n. 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numPr>
                <w:ilvl w:val="0"/>
                <w:numId w:val="31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Verificare, nel caso di apparecchio multipostazione, che ciascuna postazione di gioco sia un apparecchio C7 conforme al Decreto Regole Tecniche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numPr>
                <w:ilvl w:val="0"/>
                <w:numId w:val="51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center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Presenza di postazioni di gioco fisicamente e strettamente interconnesse fra di loro e possibilità di gioco in contemporanea a più giocatori, anche in interazione fra 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numPr>
                <w:ilvl w:val="0"/>
                <w:numId w:val="55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Requisiti specifici comma 7C 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Note**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periferica destinata al pagamento delle partite e introduzione di denaro o gettoni ed assenza altri strumenti di pagamento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numPr>
                <w:ilvl w:val="0"/>
                <w:numId w:val="22"/>
              </w:numPr>
              <w:spacing w:line="240" w:lineRule="auto"/>
              <w:ind w:left="720" w:hanging="720"/>
              <w:rPr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numPr>
                <w:ilvl w:val="0"/>
                <w:numId w:val="30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numPr>
                <w:ilvl w:val="0"/>
                <w:numId w:val="11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meccanismi per la distribuzione di tagliandi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numPr>
                <w:ilvl w:val="0"/>
                <w:numId w:val="59"/>
              </w:numPr>
              <w:spacing w:line="240" w:lineRule="auto"/>
              <w:ind w:left="720" w:hanging="720"/>
              <w:rPr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numPr>
                <w:ilvl w:val="0"/>
                <w:numId w:val="42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Assenza di erogazione di premi e vincite di altra 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numPr>
                <w:ilvl w:val="0"/>
                <w:numId w:val="16"/>
              </w:numPr>
              <w:spacing w:line="240" w:lineRule="auto"/>
              <w:ind w:left="720" w:hanging="720"/>
              <w:rPr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numPr>
                <w:ilvl w:val="0"/>
                <w:numId w:val="7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numPr>
                <w:ilvl w:val="0"/>
                <w:numId w:val="20"/>
              </w:numPr>
              <w:spacing w:line="240" w:lineRule="auto"/>
              <w:ind w:left="720" w:hanging="720"/>
              <w:rPr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Requisiti facoltativi comma 7C 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NC*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Note**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Possesso scheda di gioco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Possesso display o monitor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Apparecchi multi postazione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Possesso dispositivi periferici occorrenti solo per consentire al giocatore di azionare, pilotare e/o interagire con l’apparecchio o il gioco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Possesso di componenti elettroniche, oltre a dispositivi meccanici, per l’esecuzione del gioco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Possesso meccanismo in grado di riprodurre tracce audio e/o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Aggiornamento, anche a distanza, delle memorie elettroniche attraverso meccanismi predefiniti dal produttore, descritti dettagliatamente nella documentazione tecnica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36"/>
              </w:numPr>
              <w:spacing w:line="240" w:lineRule="auto"/>
              <w:ind w:left="72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6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39"/>
              </w:numPr>
              <w:spacing w:line="240" w:lineRule="auto"/>
              <w:ind w:left="72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C= Conforme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NC= Non Conforme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NA. Non Applicabile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**</w:t>
      </w:r>
      <w:r w:rsidDel="00000000" w:rsidR="00000000" w:rsidRPr="00000000">
        <w:rPr>
          <w:rtl w:val="0"/>
        </w:rPr>
        <w:t xml:space="preserve">Qualora vengano barrate le caselle “NC” o “NA”, inserire il dettaglio della motivazione nella colonna “Note”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Attenzione: la scheda esplicativa sarà considerata valida solo se per ogni riga sarà presente il flag esclusivamente in una delle tre colonne “C”, “NC” o “NA”.</w:t>
      </w:r>
    </w:p>
    <w:sectPr>
      <w:headerReference r:id="rId6" w:type="default"/>
      <w:footerReference r:id="rId7" w:type="default"/>
      <w:footerReference r:id="rId8" w:type="even"/>
      <w:pgSz w:h="11906" w:w="16838" w:orient="landscape"/>
      <w:pgMar w:bottom="899" w:top="1133.8582677165355" w:left="1134" w:right="1134" w:header="180" w:footer="2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Verifica requisiti comma 7C-TER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INSERIRE DENOMINAZIONE GIOCO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Pag.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di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ageBreakBefore w:val="0"/>
      <w:spacing w:line="240" w:lineRule="auto"/>
      <w:rPr>
        <w:b w:val="1"/>
        <w:i w:val="1"/>
        <w:sz w:val="28"/>
        <w:szCs w:val="28"/>
        <w:highlight w:val="yellow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-2552699</wp:posOffset>
              </wp:positionV>
              <wp:extent cx="923925" cy="923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32280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-2552699</wp:posOffset>
              </wp:positionV>
              <wp:extent cx="923925" cy="923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-2552699</wp:posOffset>
              </wp:positionV>
              <wp:extent cx="923925" cy="923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32280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-2552699</wp:posOffset>
              </wp:positionV>
              <wp:extent cx="923925" cy="9239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-2552699</wp:posOffset>
              </wp:positionV>
              <wp:extent cx="923925" cy="923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32280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-2552699</wp:posOffset>
              </wp:positionV>
              <wp:extent cx="923925" cy="923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W w:w="1457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856.666666666667"/>
      <w:gridCol w:w="4856.666666666667"/>
      <w:gridCol w:w="4856.666666666667"/>
      <w:tblGridChange w:id="0">
        <w:tblGrid>
          <w:gridCol w:w="4856.666666666667"/>
          <w:gridCol w:w="4856.666666666667"/>
          <w:gridCol w:w="4856.66666666666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3">
          <w:pPr>
            <w:pageBreakBefore w:val="0"/>
            <w:spacing w:line="240" w:lineRule="auto"/>
            <w:rPr>
              <w:b w:val="1"/>
              <w:i w:val="1"/>
              <w:sz w:val="28"/>
              <w:szCs w:val="28"/>
              <w:highlight w:val="yellow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highlight w:val="yellow"/>
              <w:rtl w:val="0"/>
            </w:rPr>
            <w:t xml:space="preserve">logo società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4">
          <w:pPr>
            <w:pageBreakBefore w:val="0"/>
            <w:spacing w:line="240" w:lineRule="auto"/>
            <w:jc w:val="center"/>
            <w:rPr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rtl w:val="0"/>
            </w:rPr>
            <w:t xml:space="preserve">REQUISITI COMMA 7C-TER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5">
          <w:pPr>
            <w:pageBreakBefore w:val="0"/>
            <w:spacing w:line="240" w:lineRule="auto"/>
            <w:jc w:val="right"/>
            <w:rPr>
              <w:b w:val="1"/>
              <w:i w:val="1"/>
              <w:sz w:val="28"/>
              <w:szCs w:val="28"/>
              <w:highlight w:val="yellow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highlight w:val="yellow"/>
              <w:rtl w:val="0"/>
            </w:rPr>
            <w:t xml:space="preserve">MOD.3-SE. xx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6">
          <w:pPr>
            <w:pageBreakBefore w:val="0"/>
            <w:widowControl w:val="0"/>
            <w:spacing w:line="240" w:lineRule="auto"/>
            <w:rPr>
              <w:b w:val="1"/>
              <w:i w:val="1"/>
              <w:sz w:val="28"/>
              <w:szCs w:val="28"/>
              <w:highlight w:val="yellow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highlight w:val="yellow"/>
              <w:rtl w:val="0"/>
            </w:rPr>
            <w:t xml:space="preserve">Data: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7">
          <w:pPr>
            <w:pageBreakBefore w:val="0"/>
            <w:spacing w:line="240" w:lineRule="auto"/>
            <w:jc w:val="center"/>
            <w:rPr>
              <w:b w:val="1"/>
              <w:i w:val="1"/>
              <w:sz w:val="18"/>
              <w:szCs w:val="18"/>
              <w:highlight w:val="yellow"/>
            </w:rPr>
          </w:pPr>
          <w:r w:rsidDel="00000000" w:rsidR="00000000" w:rsidRPr="00000000">
            <w:rPr>
              <w:b w:val="1"/>
              <w:i w:val="1"/>
              <w:sz w:val="18"/>
              <w:szCs w:val="18"/>
              <w:highlight w:val="yellow"/>
              <w:rtl w:val="0"/>
            </w:rPr>
            <w:t xml:space="preserve">Inserire denominazione apparecchio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8">
          <w:pPr>
            <w:pageBreakBefore w:val="0"/>
            <w:spacing w:line="240" w:lineRule="auto"/>
            <w:jc w:val="right"/>
            <w:rPr>
              <w:b w:val="1"/>
              <w:i w:val="1"/>
              <w:sz w:val="28"/>
              <w:szCs w:val="28"/>
              <w:highlight w:val="yellow"/>
            </w:rPr>
          </w:pPr>
          <w:r w:rsidDel="00000000" w:rsidR="00000000" w:rsidRPr="00000000">
            <w:rPr>
              <w:b w:val="1"/>
              <w:sz w:val="28"/>
              <w:szCs w:val="28"/>
              <w:highlight w:val="yellow"/>
              <w:rtl w:val="0"/>
            </w:rPr>
            <w:t xml:space="preserve">Rev. xx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9">
    <w:pPr>
      <w:pageBreakBefore w:val="0"/>
      <w:spacing w:line="240" w:lineRule="auto"/>
      <w:rPr>
        <w:b w:val="1"/>
        <w:i w:val="1"/>
        <w:sz w:val="28"/>
        <w:szCs w:val="28"/>
        <w:highlight w:val="yellow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