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VERIFICA CONFORMITÀ’ APPARECCHI COMMA 7C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MOD.3 - SE.XX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comma 7C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6">
      <w:pPr>
        <w:keepNext w:val="1"/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Linee Guida 273612/RU del 28/07/2021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INSERIRE 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gridCol w:w="555"/>
        <w:gridCol w:w="780"/>
        <w:gridCol w:w="780"/>
        <w:gridCol w:w="3225"/>
        <w:tblGridChange w:id="0">
          <w:tblGrid>
            <w:gridCol w:w="9990"/>
            <w:gridCol w:w="555"/>
            <w:gridCol w:w="780"/>
            <w:gridCol w:w="780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applicabili a tutti i comma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</w:p>
        </w:tc>
      </w:tr>
      <w:tr>
        <w:trPr>
          <w:cantSplit w:val="0"/>
          <w:trHeight w:val="188.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sistema di alloggio supporto contenente il codice identificativo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campi per inserimento codice identificativo dell’apparecchio C7 per ogni intervento su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scheda esplicativa e il suo estratto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riproduzioni di gioco del poker o, comunque, anche in parte, le sue regole fondamentali nonché tutti i giochi che, per modalità similari con quelle consentite dagli apparecchi con vincita in denaro disciplinati dall’art. 110, comma 6 del TULPS, possano indurre una medesima aspettativa di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vincita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6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riproduzione di giochi quali roulette, ventuno, sette e mezzo, dadi in tutte le forme, black jack, chemin de fer, baccarat e altri giochi d’azzardo di cui all’art. 110, comma 5 del TULPS o che, comunque, riproducano, anche in parte, le loro regole fondamentali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classificazione PEGI o sistema equivalente o presenza in scheda esplicativa dell’età minima del giocatore consigliata dal produttore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5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presenti funzionalità di aggiornamento a distanza delle memorie elettroniche o collegamenti in rete per operazioni di monitoraggio e controllo nonché, nell’ambito dello svolgimento delle operazioni di gioco, per la formazione di classifiche e per la realizzazione di gioco simultaneo a distanza, assenza di collegamento a reti di telecomunicazioni, ivi inclusa la rete internet, tramite qualsiasi tipo di connessione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6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dispositivo a rulli o rulli virtuali atti a visualizzare le fasi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dispositivi e/o meccanismi che rendono impossibile la modifica, eseguita in modo non conforme o comunque in modo diverso da quanto previsto nella scheda esplicativa delle componenti che determinano il funzionamento, le modalità di gioco o il suo risultato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4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eventuali punteggi accumulati durante il gioco, tramutabili in crediti a favore del giocatore per ripetizioni di partite né usufruibili in partite successive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7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importo necessario per l’attivazione convertibile in crediti utilizzabili dal giocatore in modo frazionato nelle fasi di gioco intermedie di una singola partita con modalità similari a quelle consentite dagli apparecchi con vincita in denaro disciplinati dall’art. 110, comma 6 del TULPS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4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continua in caso di assenza di alimentazione, delle classifiche e/o record conseguiti, inalterate e mostrate anche al riavvio dell’apparecchio 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punteggi realizzati al termine della partita visualizzati in ordine crescente o decrescente in base al punteggio e non in base al momento temporale in cui tale punteggio viene realizzato.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3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possibilità di utilizzo di monete in valuta corrente, gettoni o altri strumenti elettronici di pagamento esclusivamente nei casi necessari per l’attivazione e non durante le diverse fasi di gioco o comunque nel corso della partita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sistemi che rendano visibili al proprio interno, monete o denaro in valuta corrente o altri oggetti che possano indurre un’aspettativa di vincita al giocatore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5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Assenza, ad eccezione di quanto previsto all’art. 5, comma 2, lettera d) del Decreto Regole Tecniche, di eventuali classifiche e/o record conseguiti dal giocatore presenti sull’apparecchio C7 non azzerabili se non a seguito di un intervento di manutenzione straordinaria dell’apparecchio C7; tale intervento deve sempre essere inserito nel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interfacce e/o porte di comunicazione presenti sulla scheda di gioco, ove presente, utilizzate: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 software necessario al funzionamento del programma di gioco;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 dispositivi necessari per consentire al giocatore di azionare, pilotare e/o interagire con l’apparecchio C7;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59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di aggiornamento delle memorie elettroniche attraverso i meccanismi predefiniti dal produttore e descritti dettagliatamente nella documentazione tecnica di cui all’art. 8 del Decreto Regole Tecniche;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previste all’art. 5, comma 2, lettera d) del Decreto Regole Tecniche per le operazioni di monitoraggio e controllo nonché, nell’ambito dello svolgimento delle operazioni di gioco, per la formazione di classifiche e per la realizzazione di gioco simultaneo a distanza, ivi incluse le operazioni ad esse connesse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6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eventuali ulteriori interfacce e/o porte di comunicazione presenti sulla scheda di gioco, ove presente, non eliminabili fisicamente dalla scheda stessa rese permanentemente inaccessibili, attraverso idonei meccanismi hardwar e/o software, al fine di impedirne l’utilizzo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numPr>
                <w:ilvl w:val="0"/>
                <w:numId w:val="7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congegni che prevedono il blocco del funzionamento in caso di manomissione o, in alternativa, l’impiego di dispositivi e/o meccanismi che impediscano l’accesso alle componenti e ne segnalino le manomissioni, anche solo tentate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6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immagini o contenuti contrari all’ordine pubblico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violazione di quanto disposto dalla vigente normativa in materia di diritti d’autore, marchi e brevetti, e ed assenza di testi, elementi grafici, audio e/o ideo propri dei regolamenti dei giochi autorizzati e/o affidati in concessione da ADM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4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funzionalità riconducibili alle manifestazioni a premio disciplinate dal regolamento di cui al D.P.R. 26 ottobre 2001, n. 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4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Verificare, nel caso di apparecchio multi postazione, che ciascuna postazione di gioco sia un apparecchio C7 conforme al Decreto Regole Tecniche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6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postazioni di gioco fisicamente e strettamente interconnesse fra di loro e possibilità di gioco in contemporanea a più giocatori, anche in interazione fra loro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numPr>
                <w:ilvl w:val="0"/>
                <w:numId w:val="6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specifici comma 7C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Costo di ciascuna partita compreso fra euro 0,50 e 5,00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28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numPr>
                <w:ilvl w:val="0"/>
                <w:numId w:val="3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Periferica destinata esclusivamente al pagamento della partita tramite introduzione di monete metalliche in valuta corrente, gettoni o con utilizzo di strumenti elettronici di pagamento quali carte prepagate, non bancarie e non riconducibili ad alcun circuito di pagamento, ma esclusivamente finalizzate al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numPr>
                <w:ilvl w:val="0"/>
                <w:numId w:val="71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numPr>
                <w:ilvl w:val="0"/>
                <w:numId w:val="5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scheda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display o 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numPr>
                <w:ilvl w:val="0"/>
                <w:numId w:val="73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numPr>
                <w:ilvl w:val="0"/>
                <w:numId w:val="7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meccanismo per la distribuzione di tagliandi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7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Non consentono l’erogazione di premi e vincite di altra 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numPr>
                <w:ilvl w:val="0"/>
                <w:numId w:val="62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numPr>
                <w:ilvl w:val="0"/>
                <w:numId w:val="3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Consentono esclusivamente giochi basati sulla sola abilità del giocatore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numPr>
                <w:ilvl w:val="0"/>
                <w:numId w:val="67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Dispongono di dispositivi necessari per consentire al giocatore di azionare, pilotare e/o interagire con l’apparecchio o il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numPr>
                <w:ilvl w:val="0"/>
                <w:numId w:val="49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numPr>
                <w:ilvl w:val="0"/>
                <w:numId w:val="2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numPr>
                <w:ilvl w:val="0"/>
                <w:numId w:val="2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Salvo i comandi a disposizione del giocatore, non dispongono di meccanismi, di qualsiasi natura, in grado di influire in qualunque modo, anche indiretto, sull’andamento del gioco e sul relativo punteggio.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numPr>
                <w:ilvl w:val="0"/>
                <w:numId w:val="45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numPr>
                <w:ilvl w:val="0"/>
                <w:numId w:val="4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facoltativi comma 7C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Apparecchi multi postazione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5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8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Durata diversa della partita in funzione della sola abilità’ del giocatore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45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48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Aggiornamento a distanza delle memorie elettroniche attraverso meccanismi predefiniti dal produttore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45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8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Collegamento in rete per operazioni di monitoraggio e controllo nonché nell’ambito dello svolgimento delle operazioni di gioco, per la formazione di classifiche e per la realizzazione di gioco simultaneo a distanza, ivi incluse le operazioni ad esse connesse; gli eventuali collegamenti di rete devono garantire l’identificazione univoca dei singoli apparecchi e devono consentire di effettuare mutua autenticazione e cifratura tra gli apparecchi ed il server centrale, garantendo integrità e riservatezza dei dati trasmessi; il server centrale deve essere ubicato in uno dei Paesi dell’Unione Europea e deve esserne consentito l’accesso ai fini di controllo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45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48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C= Conforme</w:t>
      </w:r>
    </w:p>
    <w:p w:rsidR="00000000" w:rsidDel="00000000" w:rsidP="00000000" w:rsidRDefault="00000000" w:rsidRPr="00000000" w14:paraId="000000E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NC= Non Conforme</w:t>
      </w:r>
    </w:p>
    <w:p w:rsidR="00000000" w:rsidDel="00000000" w:rsidP="00000000" w:rsidRDefault="00000000" w:rsidRPr="00000000" w14:paraId="000000E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NA. Non Applicabile</w:t>
      </w:r>
    </w:p>
    <w:p w:rsidR="00000000" w:rsidDel="00000000" w:rsidP="00000000" w:rsidRDefault="00000000" w:rsidRPr="00000000" w14:paraId="000000E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  <w:t xml:space="preserve">Qualora vengano barrate le caselle “NC” o “NA”, inserire il dettaglio della motivazione nella colonna “Note”.</w:t>
      </w:r>
    </w:p>
    <w:p w:rsidR="00000000" w:rsidDel="00000000" w:rsidP="00000000" w:rsidRDefault="00000000" w:rsidRPr="00000000" w14:paraId="000000E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Attenzione: la scheda esplicativa sarà considerata valida solo se per ogni riga sarà presente il flag esclusivamente in una delle tre colonne “C”, “NC” o “NA”.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1906" w:w="16838" w:orient="landscape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Verifica requisiti comma 7C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tblW w:w="1457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56.666666666667"/>
      <w:gridCol w:w="4856.666666666667"/>
      <w:gridCol w:w="4856.666666666667"/>
      <w:tblGridChange w:id="0">
        <w:tblGrid>
          <w:gridCol w:w="4856.666666666667"/>
          <w:gridCol w:w="4856.666666666667"/>
          <w:gridCol w:w="4856.66666666666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2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3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REQUISITI COMMA 7C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4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MOD.3-SE.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5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6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7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8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