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b w:val="1"/>
          <w:sz w:val="44"/>
          <w:szCs w:val="44"/>
          <w:highlight w:val="white"/>
        </w:rPr>
      </w:pPr>
      <w:r w:rsidDel="00000000" w:rsidR="00000000" w:rsidRPr="00000000">
        <w:rPr>
          <w:b w:val="1"/>
          <w:sz w:val="44"/>
          <w:szCs w:val="44"/>
          <w:highlight w:val="white"/>
          <w:rtl w:val="0"/>
        </w:rPr>
        <w:t xml:space="preserve">VERIFICA CONFORMITÀ’ APPARECCHI COMMA 7A</w:t>
      </w:r>
    </w:p>
    <w:p w:rsidR="00000000" w:rsidDel="00000000" w:rsidP="00000000" w:rsidRDefault="00000000" w:rsidRPr="00000000" w14:paraId="00000002">
      <w:pPr>
        <w:pageBreakBefore w:val="0"/>
        <w:spacing w:line="360" w:lineRule="auto"/>
        <w:jc w:val="center"/>
        <w:rPr>
          <w:b w:val="1"/>
          <w:sz w:val="44"/>
          <w:szCs w:val="44"/>
          <w:highlight w:val="white"/>
        </w:rPr>
      </w:pPr>
      <w:r w:rsidDel="00000000" w:rsidR="00000000" w:rsidRPr="00000000">
        <w:rPr>
          <w:b w:val="1"/>
          <w:sz w:val="44"/>
          <w:szCs w:val="44"/>
          <w:highlight w:val="white"/>
          <w:rtl w:val="0"/>
        </w:rPr>
        <w:t xml:space="preserve">MOD.3 - SE.XX</w:t>
      </w:r>
    </w:p>
    <w:p w:rsidR="00000000" w:rsidDel="00000000" w:rsidP="00000000" w:rsidRDefault="00000000" w:rsidRPr="00000000" w14:paraId="00000003">
      <w:pPr>
        <w:pageBreakBefore w:val="0"/>
        <w:spacing w:line="360" w:lineRule="auto"/>
        <w:jc w:val="center"/>
        <w:rPr>
          <w:b w:val="1"/>
          <w:sz w:val="44"/>
          <w:szCs w:val="44"/>
          <w:highlight w:val="yellow"/>
        </w:rPr>
      </w:pPr>
      <w:r w:rsidDel="00000000" w:rsidR="00000000" w:rsidRPr="00000000">
        <w:rPr>
          <w:b w:val="1"/>
          <w:sz w:val="44"/>
          <w:szCs w:val="44"/>
          <w:highlight w:val="yellow"/>
          <w:rtl w:val="0"/>
        </w:rPr>
        <w:t xml:space="preserve">INSERIRE DENOMINAZIONE APPARECCHIO</w:t>
      </w:r>
    </w:p>
    <w:p w:rsidR="00000000" w:rsidDel="00000000" w:rsidP="00000000" w:rsidRDefault="00000000" w:rsidRPr="00000000" w14:paraId="00000004">
      <w:pPr>
        <w:pageBreakBefore w:val="0"/>
        <w:spacing w:line="360" w:lineRule="auto"/>
        <w:jc w:val="center"/>
        <w:rPr>
          <w:b w:val="1"/>
          <w:sz w:val="32"/>
          <w:szCs w:val="32"/>
        </w:rPr>
      </w:pPr>
      <w:r w:rsidDel="00000000" w:rsidR="00000000" w:rsidRPr="00000000">
        <w:rPr>
          <w:b w:val="1"/>
          <w:sz w:val="32"/>
          <w:szCs w:val="32"/>
          <w:rtl w:val="0"/>
        </w:rPr>
        <w:t xml:space="preserve">APPARECCHIO ELETTRONICO DA TRATTENIMENTO</w:t>
      </w:r>
    </w:p>
    <w:p w:rsidR="00000000" w:rsidDel="00000000" w:rsidP="00000000" w:rsidRDefault="00000000" w:rsidRPr="00000000" w14:paraId="00000005">
      <w:pPr>
        <w:pageBreakBefore w:val="0"/>
        <w:spacing w:line="360" w:lineRule="auto"/>
        <w:jc w:val="center"/>
        <w:rPr>
          <w:b w:val="1"/>
          <w:sz w:val="24"/>
          <w:szCs w:val="24"/>
        </w:rPr>
      </w:pPr>
      <w:r w:rsidDel="00000000" w:rsidR="00000000" w:rsidRPr="00000000">
        <w:rPr>
          <w:b w:val="1"/>
          <w:sz w:val="24"/>
          <w:szCs w:val="24"/>
          <w:rtl w:val="0"/>
        </w:rPr>
        <w:t xml:space="preserve">Conforme all’art. 110,</w:t>
      </w:r>
      <w:r w:rsidDel="00000000" w:rsidR="00000000" w:rsidRPr="00000000">
        <w:rPr>
          <w:b w:val="1"/>
          <w:sz w:val="24"/>
          <w:szCs w:val="24"/>
          <w:highlight w:val="white"/>
          <w:rtl w:val="0"/>
        </w:rPr>
        <w:t xml:space="preserve"> comma 7A</w:t>
      </w:r>
      <w:r w:rsidDel="00000000" w:rsidR="00000000" w:rsidRPr="00000000">
        <w:rPr>
          <w:b w:val="1"/>
          <w:sz w:val="24"/>
          <w:szCs w:val="24"/>
          <w:rtl w:val="0"/>
        </w:rPr>
        <w:t xml:space="preserve">, del Testo Unico delle leggi di Pubblica Sicurezza</w:t>
      </w:r>
    </w:p>
    <w:p w:rsidR="00000000" w:rsidDel="00000000" w:rsidP="00000000" w:rsidRDefault="00000000" w:rsidRPr="00000000" w14:paraId="00000006">
      <w:pPr>
        <w:keepNext w:val="1"/>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keepNext w:val="1"/>
        <w:pageBreakBefore w:val="0"/>
        <w:spacing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Linee Guida 273612/RU del 28/07/2021</w:t>
      </w:r>
      <w:r w:rsidDel="00000000" w:rsidR="00000000" w:rsidRPr="00000000">
        <w:rPr>
          <w:rtl w:val="0"/>
        </w:rPr>
      </w:r>
    </w:p>
    <w:p w:rsidR="00000000" w:rsidDel="00000000" w:rsidP="00000000" w:rsidRDefault="00000000" w:rsidRPr="00000000" w14:paraId="00000008">
      <w:pPr>
        <w:pageBreakBefore w:val="0"/>
        <w:spacing w:line="240" w:lineRule="auto"/>
        <w:jc w:val="center"/>
        <w:rPr>
          <w:sz w:val="36"/>
          <w:szCs w:val="36"/>
          <w:highlight w:val="yellow"/>
        </w:rPr>
      </w:pPr>
      <w:r w:rsidDel="00000000" w:rsidR="00000000" w:rsidRPr="00000000">
        <w:rPr>
          <w:rtl w:val="0"/>
        </w:rPr>
      </w:r>
    </w:p>
    <w:p w:rsidR="00000000" w:rsidDel="00000000" w:rsidP="00000000" w:rsidRDefault="00000000" w:rsidRPr="00000000" w14:paraId="00000009">
      <w:pPr>
        <w:pageBreakBefore w:val="0"/>
        <w:spacing w:line="240" w:lineRule="auto"/>
        <w:jc w:val="center"/>
        <w:rPr>
          <w:sz w:val="24"/>
          <w:szCs w:val="24"/>
        </w:rPr>
      </w:pPr>
      <w:r w:rsidDel="00000000" w:rsidR="00000000" w:rsidRPr="00000000">
        <w:rPr>
          <w:sz w:val="36"/>
          <w:szCs w:val="36"/>
          <w:highlight w:val="yellow"/>
          <w:rtl w:val="0"/>
        </w:rPr>
        <w:t xml:space="preserve">INSERIRE IMMAGINE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jc w:val="center"/>
        <w:rPr>
          <w:sz w:val="24"/>
          <w:szCs w:val="24"/>
        </w:rPr>
      </w:pPr>
      <w:r w:rsidDel="00000000" w:rsidR="00000000" w:rsidRPr="00000000">
        <w:rPr>
          <w:rtl w:val="0"/>
        </w:rPr>
      </w:r>
    </w:p>
    <w:tbl>
      <w:tblPr>
        <w:tblStyle w:val="Table1"/>
        <w:tblW w:w="10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1780"/>
        <w:gridCol w:w="1980"/>
        <w:gridCol w:w="2260"/>
        <w:gridCol w:w="2300"/>
        <w:gridCol w:w="1680"/>
        <w:tblGridChange w:id="0">
          <w:tblGrid>
            <w:gridCol w:w="780"/>
            <w:gridCol w:w="1780"/>
            <w:gridCol w:w="1980"/>
            <w:gridCol w:w="2260"/>
            <w:gridCol w:w="230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24"/>
                <w:szCs w:val="24"/>
              </w:rPr>
            </w:pPr>
            <w:r w:rsidDel="00000000" w:rsidR="00000000" w:rsidRPr="00000000">
              <w:rPr>
                <w:sz w:val="24"/>
                <w:szCs w:val="24"/>
                <w:rtl w:val="0"/>
              </w:rPr>
              <w:t xml:space="preserve">Rev.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24"/>
                <w:szCs w:val="24"/>
              </w:rPr>
            </w:pPr>
            <w:r w:rsidDel="00000000" w:rsidR="00000000" w:rsidRPr="00000000">
              <w:rPr>
                <w:sz w:val="24"/>
                <w:szCs w:val="24"/>
                <w:rtl w:val="0"/>
              </w:rPr>
              <w:t xml:space="preserve">Data redazione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24"/>
                <w:szCs w:val="24"/>
              </w:rPr>
            </w:pPr>
            <w:r w:rsidDel="00000000" w:rsidR="00000000" w:rsidRPr="00000000">
              <w:rPr>
                <w:sz w:val="24"/>
                <w:szCs w:val="24"/>
                <w:rtl w:val="0"/>
              </w:rPr>
              <w:t xml:space="preserve">Causale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24"/>
                <w:szCs w:val="24"/>
              </w:rPr>
            </w:pPr>
            <w:r w:rsidDel="00000000" w:rsidR="00000000" w:rsidRPr="00000000">
              <w:rPr>
                <w:sz w:val="24"/>
                <w:szCs w:val="24"/>
                <w:rtl w:val="0"/>
              </w:rPr>
              <w:t xml:space="preserve">Redazione/Verifica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24"/>
                <w:szCs w:val="24"/>
              </w:rPr>
            </w:pPr>
            <w:r w:rsidDel="00000000" w:rsidR="00000000" w:rsidRPr="00000000">
              <w:rPr>
                <w:sz w:val="24"/>
                <w:szCs w:val="24"/>
                <w:rtl w:val="0"/>
              </w:rPr>
              <w:t xml:space="preserve">Approvazione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24"/>
                <w:szCs w:val="24"/>
              </w:rPr>
            </w:pPr>
            <w:r w:rsidDel="00000000" w:rsidR="00000000" w:rsidRPr="00000000">
              <w:rPr>
                <w:sz w:val="24"/>
                <w:szCs w:val="24"/>
                <w:rtl w:val="0"/>
              </w:rPr>
              <w:t xml:space="preserve">Data approvazione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24"/>
                <w:szCs w:val="24"/>
              </w:rPr>
            </w:pPr>
            <w:r w:rsidDel="00000000" w:rsidR="00000000" w:rsidRPr="00000000">
              <w:rPr>
                <w:sz w:val="24"/>
                <w:szCs w:val="24"/>
                <w:rtl w:val="0"/>
              </w:rPr>
              <w:t xml:space="preserve">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24"/>
                <w:szCs w:val="24"/>
              </w:rPr>
            </w:pPr>
            <w:r w:rsidDel="00000000" w:rsidR="00000000" w:rsidRPr="00000000">
              <w:rPr>
                <w:sz w:val="24"/>
                <w:szCs w:val="24"/>
                <w:rtl w:val="0"/>
              </w:rPr>
              <w:t xml:space="preserve">XX/XX/XXXX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24"/>
                <w:szCs w:val="24"/>
              </w:rPr>
            </w:pPr>
            <w:r w:rsidDel="00000000" w:rsidR="00000000" w:rsidRPr="00000000">
              <w:rPr>
                <w:sz w:val="24"/>
                <w:szCs w:val="24"/>
                <w:rtl w:val="0"/>
              </w:rPr>
              <w:t xml:space="preserve">Prima emissione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24"/>
                <w:szCs w:val="24"/>
              </w:rPr>
            </w:pPr>
            <w:r w:rsidDel="00000000" w:rsidR="00000000" w:rsidRPr="00000000">
              <w:rPr>
                <w:sz w:val="24"/>
                <w:szCs w:val="24"/>
                <w:rtl w:val="0"/>
              </w:rPr>
              <w:t xml:space="preserve">INSERIRE RIFERIMENTO REDATTORE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24"/>
                <w:szCs w:val="24"/>
              </w:rPr>
            </w:pPr>
            <w:r w:rsidDel="00000000" w:rsidR="00000000" w:rsidRPr="00000000">
              <w:rPr>
                <w:sz w:val="24"/>
                <w:szCs w:val="24"/>
                <w:rtl w:val="0"/>
              </w:rPr>
              <w:t xml:space="preserve">INSERIRE RIFERIMENTO APPROVATORE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24"/>
                <w:szCs w:val="24"/>
              </w:rPr>
            </w:pPr>
            <w:r w:rsidDel="00000000" w:rsidR="00000000" w:rsidRPr="00000000">
              <w:rPr>
                <w:sz w:val="24"/>
                <w:szCs w:val="24"/>
                <w:rtl w:val="0"/>
              </w:rPr>
              <w:t xml:space="preserve">XX/XX/XXXX</w:t>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36"/>
          <w:szCs w:val="36"/>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36"/>
          <w:szCs w:val="36"/>
        </w:rPr>
      </w:pPr>
      <w:r w:rsidDel="00000000" w:rsidR="00000000" w:rsidRPr="00000000">
        <w:rPr>
          <w:rtl w:val="0"/>
        </w:rPr>
      </w:r>
    </w:p>
    <w:tbl>
      <w:tblPr>
        <w:tblStyle w:val="Table2"/>
        <w:tblW w:w="15330.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gridCol w:w="555"/>
        <w:gridCol w:w="780"/>
        <w:gridCol w:w="780"/>
        <w:gridCol w:w="3225"/>
        <w:tblGridChange w:id="0">
          <w:tblGrid>
            <w:gridCol w:w="9990"/>
            <w:gridCol w:w="555"/>
            <w:gridCol w:w="780"/>
            <w:gridCol w:w="780"/>
            <w:gridCol w:w="3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Requisiti applicabili a tutti i comma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b w:val="1"/>
                <w:sz w:val="30"/>
                <w:szCs w:val="30"/>
              </w:rPr>
            </w:pPr>
            <w:r w:rsidDel="00000000" w:rsidR="00000000" w:rsidRPr="00000000">
              <w:rPr>
                <w:b w:val="1"/>
                <w:sz w:val="30"/>
                <w:szCs w:val="3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Note**</w:t>
            </w:r>
          </w:p>
        </w:tc>
      </w:tr>
      <w:tr>
        <w:trPr>
          <w:cantSplit w:val="0"/>
          <w:trHeight w:val="188.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Presenza sistema di alloggio supporto contenente il codice identificativo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both"/>
              <w:rPr/>
            </w:pPr>
            <w:r w:rsidDel="00000000" w:rsidR="00000000" w:rsidRPr="00000000">
              <w:rPr>
                <w:rtl w:val="0"/>
              </w:rPr>
              <w:t xml:space="preserve">Presenza campi per inserimento codice identificativo dell’apparecchio C7 per ogni intervento su Registro delle manutenzioni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numPr>
                <w:ilvl w:val="0"/>
                <w:numId w:val="56"/>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rHeight w:val="50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both"/>
              <w:rPr/>
            </w:pPr>
            <w:r w:rsidDel="00000000" w:rsidR="00000000" w:rsidRPr="00000000">
              <w:rPr>
                <w:rtl w:val="0"/>
              </w:rPr>
              <w:t xml:space="preserve">Presenza scheda esplicativa e il suo estratto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numPr>
                <w:ilvl w:val="0"/>
                <w:numId w:val="11"/>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jc w:val="both"/>
              <w:rPr/>
            </w:pPr>
            <w:r w:rsidDel="00000000" w:rsidR="00000000" w:rsidRPr="00000000">
              <w:rPr>
                <w:rtl w:val="0"/>
              </w:rPr>
              <w:t xml:space="preserve">Assenza di riproduzioni di gioco del poker o, comunque, anche in parte, le sue regole fondamentali nonché tutti i giochi che, per modalità similari con quelle consentite dagli apparecchi con vincita in denaro disciplinati dall’art. 110, comma 6 del TULPS, possano indurre una medesima aspettativa di</w:t>
            </w:r>
          </w:p>
          <w:p w:rsidR="00000000" w:rsidDel="00000000" w:rsidP="00000000" w:rsidRDefault="00000000" w:rsidRPr="00000000" w14:paraId="00000032">
            <w:pPr>
              <w:pageBreakBefore w:val="0"/>
              <w:widowControl w:val="0"/>
              <w:spacing w:line="240" w:lineRule="auto"/>
              <w:jc w:val="both"/>
              <w:rPr/>
            </w:pPr>
            <w:r w:rsidDel="00000000" w:rsidR="00000000" w:rsidRPr="00000000">
              <w:rPr>
                <w:rtl w:val="0"/>
              </w:rPr>
              <w:t xml:space="preserve">vincita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numPr>
                <w:ilvl w:val="0"/>
                <w:numId w:val="64"/>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jc w:val="both"/>
              <w:rPr/>
            </w:pPr>
            <w:r w:rsidDel="00000000" w:rsidR="00000000" w:rsidRPr="00000000">
              <w:rPr>
                <w:rtl w:val="0"/>
              </w:rPr>
              <w:t xml:space="preserve">Assenza di riproduzione di giochi quali roulette, ventuno, sette e mezzo, dadi in tutte le forme, black jack, chemin de fer, baccarat e altri giochi d’azzardo di cui all’art. 110, comma 5 del TULPS o che, comunque, riproducano, anche in parte, le loro regole fondamentali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numPr>
                <w:ilvl w:val="0"/>
                <w:numId w:val="23"/>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jc w:val="both"/>
              <w:rPr/>
            </w:pPr>
            <w:r w:rsidDel="00000000" w:rsidR="00000000" w:rsidRPr="00000000">
              <w:rPr>
                <w:rtl w:val="0"/>
              </w:rPr>
              <w:t xml:space="preserve">Presenza classificazione PEGI o sistema equivalente o presenza in scheda esplicativa dell’età minima del giocatore consigliata dal produttore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numPr>
                <w:ilvl w:val="0"/>
                <w:numId w:val="55"/>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168.6614173228338"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jc w:val="both"/>
              <w:rPr/>
            </w:pPr>
            <w:r w:rsidDel="00000000" w:rsidR="00000000" w:rsidRPr="00000000">
              <w:rPr>
                <w:rtl w:val="0"/>
              </w:rPr>
              <w:t xml:space="preserve">Se presenti funzionalità di aggiornamento a distanza delle memorie elettroniche o collegamenti in rete per operazioni di monitoraggio e controllo nonché, nell’ambito dello svolgimento delle operazioni di gioco, per la formazione di classifiche e per la realizzazione di gioco simultaneo a distanza, assenza di collegamento a reti di telecomunicazioni, ivi inclusa la rete internet, tramite qualsiasi tipo di connessione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numPr>
                <w:ilvl w:val="0"/>
                <w:numId w:val="69"/>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168.6614173228338"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jc w:val="both"/>
              <w:rPr/>
            </w:pPr>
            <w:r w:rsidDel="00000000" w:rsidR="00000000" w:rsidRPr="00000000">
              <w:rPr>
                <w:rtl w:val="0"/>
              </w:rPr>
              <w:t xml:space="preserve">Assenza dispositivo a rulli o rulli virtuali atti a visualizzare le fasi di gioco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numPr>
                <w:ilvl w:val="0"/>
                <w:numId w:val="2"/>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68.6614173228338"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both"/>
              <w:rPr/>
            </w:pPr>
            <w:r w:rsidDel="00000000" w:rsidR="00000000" w:rsidRPr="00000000">
              <w:rPr>
                <w:rtl w:val="0"/>
              </w:rPr>
              <w:t xml:space="preserve">Presenza di dispositivi e/o meccanismi che rendono impossibile la modifica, eseguita in modo non conforme o comunque in modo diverso da quanto previsto nella scheda esplicativa delle componenti che determinano il funzionamento, le modalità di gioco o il suo risultato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numPr>
                <w:ilvl w:val="0"/>
                <w:numId w:val="46"/>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168.6614173228338"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jc w:val="both"/>
              <w:rPr/>
            </w:pPr>
            <w:r w:rsidDel="00000000" w:rsidR="00000000" w:rsidRPr="00000000">
              <w:rPr>
                <w:rtl w:val="0"/>
              </w:rPr>
              <w:t xml:space="preserve">Assenza di eventuali punteggi accumulati durante il gioco, tramutabili in crediti a favore del giocatore per ripetizioni di partite né usufruibili in partite successive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numPr>
                <w:ilvl w:val="0"/>
                <w:numId w:val="77"/>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jc w:val="both"/>
              <w:rPr/>
            </w:pPr>
            <w:r w:rsidDel="00000000" w:rsidR="00000000" w:rsidRPr="00000000">
              <w:rPr>
                <w:rtl w:val="0"/>
              </w:rPr>
              <w:t xml:space="preserve">Assenza di importo necessario per l’attivazione convertibile in crediti utilizzabili dal giocatore in modo frazionato nelle fasi di gioco intermedie di una singola partita con modalità similari a quelle consentite dagli apparecchi con vincita in denaro disciplinati dall’art. 110, comma 6 del TULPS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numPr>
                <w:ilvl w:val="0"/>
                <w:numId w:val="42"/>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both"/>
              <w:rPr/>
            </w:pPr>
            <w:r w:rsidDel="00000000" w:rsidR="00000000" w:rsidRPr="00000000">
              <w:rPr>
                <w:rtl w:val="0"/>
              </w:rPr>
              <w:t xml:space="preserve">Presenza continua in caso di assenza di alimentazione, delle classifiche e/o record conseguiti, inalterate e mostrate anche al riavvio dell’apparecchio C7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numPr>
                <w:ilvl w:val="0"/>
                <w:numId w:val="31"/>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both"/>
              <w:rPr/>
            </w:pPr>
            <w:r w:rsidDel="00000000" w:rsidR="00000000" w:rsidRPr="00000000">
              <w:rPr>
                <w:rtl w:val="0"/>
              </w:rPr>
              <w:t xml:space="preserve">Presenza punteggi realizzati al termine della partita visualizzati in ordine crescente o decrescente in base al punteggio e non in base al momento temporale in cui tale punteggio viene realizzato.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numPr>
                <w:ilvl w:val="0"/>
                <w:numId w:val="38"/>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jc w:val="both"/>
              <w:rPr/>
            </w:pPr>
            <w:r w:rsidDel="00000000" w:rsidR="00000000" w:rsidRPr="00000000">
              <w:rPr>
                <w:rtl w:val="0"/>
              </w:rPr>
              <w:t xml:space="preserve">Presenza di possibilità di utilizzo di monete in valuta corrente, gettoni o altri strumenti elettronici di pagamento esclusivamente nei casi necessari per l’attivazione e non durante le diverse fasi di gioco o comunque nel corso della partita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numPr>
                <w:ilvl w:val="0"/>
                <w:numId w:val="17"/>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both"/>
              <w:rPr/>
            </w:pPr>
            <w:r w:rsidDel="00000000" w:rsidR="00000000" w:rsidRPr="00000000">
              <w:rPr>
                <w:rtl w:val="0"/>
              </w:rPr>
              <w:t xml:space="preserve">Assenza di sistemi che rendano visibili al proprio interno, monete o denaro in valuta corrente o altri oggetti che possano indurre un’aspettativa di vincita al giocatore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numPr>
                <w:ilvl w:val="0"/>
                <w:numId w:val="50"/>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both"/>
              <w:rPr/>
            </w:pPr>
            <w:r w:rsidDel="00000000" w:rsidR="00000000" w:rsidRPr="00000000">
              <w:rPr>
                <w:rtl w:val="0"/>
              </w:rPr>
              <w:t xml:space="preserve">Assenza, ad eccezione di quanto previsto all’art. 5, comma 2, lettera d) del Decreto Regole Tecniche, di eventuali classifiche e/o record conseguiti dal giocatore presenti sull’apparecchio C7 non azzerabili se non a seguito di un intervento di manutenzione straordinaria dell’apparecchio C7; tale intervento deve sempre essere inserito nel registro delle manutenzioni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numPr>
                <w:ilvl w:val="0"/>
                <w:numId w:val="1"/>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jc w:val="both"/>
              <w:rPr/>
            </w:pPr>
            <w:r w:rsidDel="00000000" w:rsidR="00000000" w:rsidRPr="00000000">
              <w:rPr>
                <w:rtl w:val="0"/>
              </w:rPr>
              <w:t xml:space="preserve">Presenza di interfacce e/o porte di comunicazione presenti sulla scheda di gioco, ove presente, utilizzate:</w:t>
            </w:r>
          </w:p>
          <w:p w:rsidR="00000000" w:rsidDel="00000000" w:rsidP="00000000" w:rsidRDefault="00000000" w:rsidRPr="00000000" w14:paraId="00000074">
            <w:pPr>
              <w:pageBreakBefore w:val="0"/>
              <w:widowControl w:val="0"/>
              <w:numPr>
                <w:ilvl w:val="0"/>
                <w:numId w:val="35"/>
              </w:numPr>
              <w:spacing w:line="240" w:lineRule="auto"/>
              <w:ind w:left="720" w:hanging="360"/>
              <w:jc w:val="both"/>
              <w:rPr/>
            </w:pPr>
            <w:r w:rsidDel="00000000" w:rsidR="00000000" w:rsidRPr="00000000">
              <w:rPr>
                <w:rtl w:val="0"/>
              </w:rPr>
              <w:t xml:space="preserve">dal software necessario al funzionamento del programma di gioco;</w:t>
            </w:r>
          </w:p>
          <w:p w:rsidR="00000000" w:rsidDel="00000000" w:rsidP="00000000" w:rsidRDefault="00000000" w:rsidRPr="00000000" w14:paraId="00000075">
            <w:pPr>
              <w:pageBreakBefore w:val="0"/>
              <w:widowControl w:val="0"/>
              <w:numPr>
                <w:ilvl w:val="0"/>
                <w:numId w:val="35"/>
              </w:numPr>
              <w:spacing w:line="240" w:lineRule="auto"/>
              <w:ind w:left="720" w:hanging="360"/>
              <w:jc w:val="both"/>
              <w:rPr/>
            </w:pPr>
            <w:r w:rsidDel="00000000" w:rsidR="00000000" w:rsidRPr="00000000">
              <w:rPr>
                <w:rtl w:val="0"/>
              </w:rPr>
              <w:t xml:space="preserve">dai dispositivi necessari per consentire al giocatore di azionare, pilotare e/o interagire con l’apparecchio C7;</w:t>
            </w:r>
          </w:p>
          <w:p w:rsidR="00000000" w:rsidDel="00000000" w:rsidP="00000000" w:rsidRDefault="00000000" w:rsidRPr="00000000" w14:paraId="00000076">
            <w:pPr>
              <w:pageBreakBefore w:val="0"/>
              <w:widowControl w:val="0"/>
              <w:numPr>
                <w:ilvl w:val="0"/>
                <w:numId w:val="59"/>
              </w:numPr>
              <w:spacing w:line="240" w:lineRule="auto"/>
              <w:ind w:left="720" w:hanging="360"/>
              <w:jc w:val="both"/>
              <w:rPr/>
            </w:pPr>
            <w:r w:rsidDel="00000000" w:rsidR="00000000" w:rsidRPr="00000000">
              <w:rPr>
                <w:rtl w:val="0"/>
              </w:rPr>
              <w:t xml:space="preserve">dalle funzionalità di aggiornamento delle memorie elettroniche attraverso i meccanismi predefiniti dal produttore e descritti dettagliatamente nella documentazione tecnica di cui all’art. 8 del Decreto Regole Tecniche;</w:t>
            </w:r>
          </w:p>
          <w:p w:rsidR="00000000" w:rsidDel="00000000" w:rsidP="00000000" w:rsidRDefault="00000000" w:rsidRPr="00000000" w14:paraId="00000077">
            <w:pPr>
              <w:pageBreakBefore w:val="0"/>
              <w:widowControl w:val="0"/>
              <w:numPr>
                <w:ilvl w:val="0"/>
                <w:numId w:val="36"/>
              </w:numPr>
              <w:spacing w:line="240" w:lineRule="auto"/>
              <w:ind w:left="720" w:hanging="360"/>
              <w:jc w:val="both"/>
              <w:rPr/>
            </w:pPr>
            <w:r w:rsidDel="00000000" w:rsidR="00000000" w:rsidRPr="00000000">
              <w:rPr>
                <w:rtl w:val="0"/>
              </w:rPr>
              <w:t xml:space="preserve">dalle funzionalità previste all’art. 5, comma 2, lettera d) del Decreto Regole Tecniche per le operazioni di monitoraggio e controllo nonché, nell’ambito dello svolgimento delle operazioni di gioco, per la formazione di classifiche e per la realizzazione di gioco simultaneo a distanza, ivi incluse le operazioni ad esse connesse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numPr>
                <w:ilvl w:val="0"/>
                <w:numId w:val="63"/>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26.929133858268415"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jc w:val="both"/>
              <w:rPr/>
            </w:pPr>
            <w:r w:rsidDel="00000000" w:rsidR="00000000" w:rsidRPr="00000000">
              <w:rPr>
                <w:rtl w:val="0"/>
              </w:rPr>
              <w:t xml:space="preserve">Presenza di eventuali ulteriori interfacce e/o porte di comunicazione presenti sulla scheda di gioco, ove presente, non eliminabili fisicamente dalla scheda stessa rese permanentemente inaccessibili, attraverso idonei meccanismi hardwar e/o software, al fine di impedirne l’utilizzo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numPr>
                <w:ilvl w:val="0"/>
                <w:numId w:val="76"/>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jc w:val="both"/>
              <w:rPr/>
            </w:pPr>
            <w:r w:rsidDel="00000000" w:rsidR="00000000" w:rsidRPr="00000000">
              <w:rPr>
                <w:rtl w:val="0"/>
              </w:rPr>
              <w:t xml:space="preserve">Presenza di congegni che prevedono il blocco del funzionamento in caso di manomissione o, in alternativa, l’impiego di dispositivi e/o meccanismi che impediscano l’accesso alle componenti e ne segnalino le manomissioni, anche solo tentate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numPr>
                <w:ilvl w:val="0"/>
                <w:numId w:val="68"/>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jc w:val="both"/>
              <w:rPr/>
            </w:pPr>
            <w:r w:rsidDel="00000000" w:rsidR="00000000" w:rsidRPr="00000000">
              <w:rPr>
                <w:rtl w:val="0"/>
              </w:rPr>
              <w:t xml:space="preserve">Assenza di immagini o contenuti contrari all’ordine pubblico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numPr>
                <w:ilvl w:val="0"/>
                <w:numId w:val="37"/>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jc w:val="both"/>
              <w:rPr/>
            </w:pPr>
            <w:r w:rsidDel="00000000" w:rsidR="00000000" w:rsidRPr="00000000">
              <w:rPr>
                <w:rtl w:val="0"/>
              </w:rPr>
              <w:t xml:space="preserve">Assenza di violazione di quanto disposto dalla vigente normativa in materia di diritti d’autore, marchi e brevetti, e ed assenza di testi, elementi grafici, audio e/o ideo propri dei regolamenti dei giochi autorizzati e/o affidati in concessione da ADM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numPr>
                <w:ilvl w:val="0"/>
                <w:numId w:val="44"/>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jc w:val="both"/>
              <w:rPr/>
            </w:pPr>
            <w:r w:rsidDel="00000000" w:rsidR="00000000" w:rsidRPr="00000000">
              <w:rPr>
                <w:rtl w:val="0"/>
              </w:rPr>
              <w:t xml:space="preserve">Assenza di funzionalità riconducibili alle manifestazioni a premio disciplinate dal regolamento di cui al D.P.R. 26 ottobre 2001, n. 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numPr>
                <w:ilvl w:val="0"/>
                <w:numId w:val="40"/>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jc w:val="both"/>
              <w:rPr/>
            </w:pPr>
            <w:r w:rsidDel="00000000" w:rsidR="00000000" w:rsidRPr="00000000">
              <w:rPr>
                <w:rtl w:val="0"/>
              </w:rPr>
              <w:t xml:space="preserve">Verificare, nel caso di apparecchio multipostazione, che ciascuna postazione di gioco sia un apparecchio C7 conforme al Decreto Regole Tecniche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numPr>
                <w:ilvl w:val="0"/>
                <w:numId w:val="61"/>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both"/>
              <w:rPr/>
            </w:pPr>
            <w:r w:rsidDel="00000000" w:rsidR="00000000" w:rsidRPr="00000000">
              <w:rPr>
                <w:rtl w:val="0"/>
              </w:rPr>
              <w:t xml:space="preserve">Presenza di postazioni di gioco fisicamente e strettamente interconnesse fra di loro e possibilità di gioco in contemporanea a più giocatori, anche in interazione fra loro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numPr>
                <w:ilvl w:val="0"/>
                <w:numId w:val="66"/>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jc w:val="center"/>
              <w:rPr>
                <w:b w:val="1"/>
                <w:sz w:val="30"/>
                <w:szCs w:val="30"/>
              </w:rPr>
            </w:pPr>
            <w:r w:rsidDel="00000000" w:rsidR="00000000" w:rsidRPr="00000000">
              <w:rPr>
                <w:b w:val="1"/>
                <w:sz w:val="30"/>
                <w:szCs w:val="30"/>
                <w:rtl w:val="0"/>
              </w:rPr>
              <w:t xml:space="preserve">Requisiti specifici comma 7A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jc w:val="center"/>
              <w:rPr>
                <w:b w:val="1"/>
                <w:sz w:val="30"/>
                <w:szCs w:val="30"/>
              </w:rPr>
            </w:pPr>
            <w:r w:rsidDel="00000000" w:rsidR="00000000" w:rsidRPr="00000000">
              <w:rPr>
                <w:b w:val="1"/>
                <w:sz w:val="30"/>
                <w:szCs w:val="3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jc w:val="center"/>
              <w:rPr>
                <w:b w:val="1"/>
                <w:sz w:val="30"/>
                <w:szCs w:val="30"/>
              </w:rPr>
            </w:pPr>
            <w:r w:rsidDel="00000000" w:rsidR="00000000" w:rsidRPr="00000000">
              <w:rPr>
                <w:b w:val="1"/>
                <w:sz w:val="30"/>
                <w:szCs w:val="30"/>
                <w:rtl w:val="0"/>
              </w:rPr>
              <w:t xml:space="preserve">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jc w:val="center"/>
              <w:rPr>
                <w:b w:val="1"/>
                <w:sz w:val="30"/>
                <w:szCs w:val="30"/>
              </w:rPr>
            </w:pPr>
            <w:r w:rsidDel="00000000" w:rsidR="00000000" w:rsidRPr="00000000">
              <w:rPr>
                <w:b w:val="1"/>
                <w:sz w:val="30"/>
                <w:szCs w:val="3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jc w:val="center"/>
              <w:rPr>
                <w:sz w:val="36"/>
                <w:szCs w:val="36"/>
              </w:rPr>
            </w:pPr>
            <w:r w:rsidDel="00000000" w:rsidR="00000000" w:rsidRPr="00000000">
              <w:rPr>
                <w:b w:val="1"/>
                <w:sz w:val="30"/>
                <w:szCs w:val="30"/>
                <w:rtl w:val="0"/>
              </w:rPr>
              <w:t xml:space="preserve">Note**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both"/>
              <w:rPr/>
            </w:pPr>
            <w:r w:rsidDel="00000000" w:rsidR="00000000" w:rsidRPr="00000000">
              <w:rPr>
                <w:rtl w:val="0"/>
              </w:rPr>
              <w:t xml:space="preserve">Costo di ciascuna partita non sia superiore a 1 (uno) euro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numPr>
                <w:ilvl w:val="0"/>
                <w:numId w:val="28"/>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numPr>
                <w:ilvl w:val="0"/>
                <w:numId w:val="39"/>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numPr>
                <w:ilvl w:val="0"/>
                <w:numId w:val="13"/>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jc w:val="both"/>
              <w:rPr>
                <w:b w:val="1"/>
                <w:sz w:val="36"/>
                <w:szCs w:val="36"/>
              </w:rPr>
            </w:pPr>
            <w:r w:rsidDel="00000000" w:rsidR="00000000" w:rsidRPr="00000000">
              <w:rPr>
                <w:rtl w:val="0"/>
              </w:rPr>
              <w:t xml:space="preserve">Presenza di una periferica di introduzione delle monete esclusivamente metalliche in euro per il pagamento della partita e l’attivazione dell’apparecchio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numPr>
                <w:ilvl w:val="0"/>
                <w:numId w:val="71"/>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numPr>
                <w:ilvl w:val="0"/>
                <w:numId w:val="52"/>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numPr>
                <w:ilvl w:val="0"/>
                <w:numId w:val="4"/>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jc w:val="both"/>
              <w:rPr>
                <w:b w:val="1"/>
                <w:sz w:val="36"/>
                <w:szCs w:val="36"/>
              </w:rPr>
            </w:pPr>
            <w:r w:rsidDel="00000000" w:rsidR="00000000" w:rsidRPr="00000000">
              <w:rPr>
                <w:rtl w:val="0"/>
              </w:rPr>
              <w:t xml:space="preserve">Assenza di dispositivi di attivazione diversi da quello previsto per l’introduzione di monete in valuta corrente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numPr>
                <w:ilvl w:val="0"/>
                <w:numId w:val="20"/>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numPr>
                <w:ilvl w:val="0"/>
                <w:numId w:val="7"/>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numPr>
                <w:ilvl w:val="0"/>
                <w:numId w:val="26"/>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jc w:val="both"/>
              <w:rPr>
                <w:b w:val="1"/>
                <w:sz w:val="36"/>
                <w:szCs w:val="36"/>
              </w:rPr>
            </w:pPr>
            <w:r w:rsidDel="00000000" w:rsidR="00000000" w:rsidRPr="00000000">
              <w:rPr>
                <w:rtl w:val="0"/>
              </w:rPr>
              <w:t xml:space="preserve">Presenza componenti sensibili di tipo elettronico che azionano componenti sensibili di tipo  meccanico indispensabili per l’esecuzione del gioco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numPr>
                <w:ilvl w:val="0"/>
                <w:numId w:val="73"/>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numPr>
                <w:ilvl w:val="0"/>
                <w:numId w:val="75"/>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numPr>
                <w:ilvl w:val="0"/>
                <w:numId w:val="15"/>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jc w:val="both"/>
              <w:rPr/>
            </w:pPr>
            <w:r w:rsidDel="00000000" w:rsidR="00000000" w:rsidRPr="00000000">
              <w:rPr>
                <w:rtl w:val="0"/>
              </w:rPr>
              <w:t xml:space="preserve">Presenza di dispositivi utilizzabili dal giocatore per interagire con lo stesso ed esprimere la propria abilità influenzando l’andamento del gioco e l’erogazione di premi che non deve essere puramente</w:t>
            </w:r>
          </w:p>
          <w:p w:rsidR="00000000" w:rsidDel="00000000" w:rsidP="00000000" w:rsidRDefault="00000000" w:rsidRPr="00000000" w14:paraId="000000B9">
            <w:pPr>
              <w:pageBreakBefore w:val="0"/>
              <w:widowControl w:val="0"/>
              <w:spacing w:line="240" w:lineRule="auto"/>
              <w:jc w:val="both"/>
              <w:rPr>
                <w:b w:val="1"/>
                <w:sz w:val="36"/>
                <w:szCs w:val="36"/>
              </w:rPr>
            </w:pPr>
            <w:r w:rsidDel="00000000" w:rsidR="00000000" w:rsidRPr="00000000">
              <w:rPr>
                <w:rtl w:val="0"/>
              </w:rPr>
              <w:t xml:space="preserve">aleatoria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numPr>
                <w:ilvl w:val="0"/>
                <w:numId w:val="32"/>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numPr>
                <w:ilvl w:val="0"/>
                <w:numId w:val="14"/>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numPr>
                <w:ilvl w:val="0"/>
                <w:numId w:val="72"/>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jc w:val="both"/>
              <w:rPr>
                <w:b w:val="1"/>
                <w:sz w:val="36"/>
                <w:szCs w:val="36"/>
              </w:rPr>
            </w:pPr>
            <w:r w:rsidDel="00000000" w:rsidR="00000000" w:rsidRPr="00000000">
              <w:rPr>
                <w:rtl w:val="0"/>
              </w:rPr>
              <w:t xml:space="preserve">Apparecchio C7 sia privo di monitor; eventuali altri dispositivi non interattivi in grado di visualizzare, a titolo esemplificativo ma non esaustivo, le regole del gioco, il tempo rimanente per l’esecuzione della partita, la disposizione dei premi contenuti all’interno dell’apparecchio C7, ecc… possono essere presenti esclusivamente per facilitare le operazioni di gioco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numPr>
                <w:ilvl w:val="0"/>
                <w:numId w:val="62"/>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numPr>
                <w:ilvl w:val="0"/>
                <w:numId w:val="12"/>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numPr>
                <w:ilvl w:val="0"/>
                <w:numId w:val="33"/>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jc w:val="both"/>
              <w:rPr>
                <w:b w:val="1"/>
                <w:sz w:val="36"/>
                <w:szCs w:val="36"/>
              </w:rPr>
            </w:pPr>
            <w:r w:rsidDel="00000000" w:rsidR="00000000" w:rsidRPr="00000000">
              <w:rPr>
                <w:rtl w:val="0"/>
              </w:rPr>
              <w:t xml:space="preserve">Assenza di dispositivi o meccanismi di qualsiasi natura per la distribuzione di tagliandi cartacei (o comunque tangibili) e/o dematerializzati e non contenga al proprio interno alcun tipo di tagliando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numPr>
                <w:ilvl w:val="0"/>
                <w:numId w:val="67"/>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numPr>
                <w:ilvl w:val="0"/>
                <w:numId w:val="29"/>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numPr>
                <w:ilvl w:val="0"/>
                <w:numId w:val="8"/>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jc w:val="both"/>
              <w:rPr>
                <w:b w:val="1"/>
                <w:sz w:val="36"/>
                <w:szCs w:val="36"/>
              </w:rPr>
            </w:pPr>
            <w:r w:rsidDel="00000000" w:rsidR="00000000" w:rsidRPr="00000000">
              <w:rPr>
                <w:rtl w:val="0"/>
              </w:rPr>
              <w:t xml:space="preserve">Assenza dispositivo per la stampa dei tagliandi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numPr>
                <w:ilvl w:val="0"/>
                <w:numId w:val="49"/>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numPr>
                <w:ilvl w:val="0"/>
                <w:numId w:val="24"/>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numPr>
                <w:ilvl w:val="0"/>
                <w:numId w:val="25"/>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jc w:val="both"/>
              <w:rPr/>
            </w:pPr>
            <w:r w:rsidDel="00000000" w:rsidR="00000000" w:rsidRPr="00000000">
              <w:rPr>
                <w:rtl w:val="0"/>
              </w:rPr>
              <w:t xml:space="preserve">Presenza esclusivamente di oggetti di modico valore, ben visibili al giocatore, erogati in caso di vincita da parte del giocatore, direttamente e immediatamente dopo la conclusione della partita attraverso un opportuno dispositivo di erogazione dei premi. Oggetti di modico valore non siano</w:t>
            </w:r>
          </w:p>
          <w:p w:rsidR="00000000" w:rsidDel="00000000" w:rsidP="00000000" w:rsidRDefault="00000000" w:rsidRPr="00000000" w14:paraId="000000CE">
            <w:pPr>
              <w:pageBreakBefore w:val="0"/>
              <w:widowControl w:val="0"/>
              <w:spacing w:line="240" w:lineRule="auto"/>
              <w:jc w:val="both"/>
              <w:rPr/>
            </w:pPr>
            <w:r w:rsidDel="00000000" w:rsidR="00000000" w:rsidRPr="00000000">
              <w:rPr>
                <w:rtl w:val="0"/>
              </w:rPr>
              <w:t xml:space="preserve">controvertibili in denaro o scambiabili con premi di diversa specie e che il loro valore non sia superiore a venti volte il costo della partita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numPr>
                <w:ilvl w:val="0"/>
                <w:numId w:val="45"/>
              </w:numPr>
              <w:spacing w:line="240" w:lineRule="auto"/>
              <w:ind w:left="720" w:hanging="720"/>
              <w:rPr>
                <w:b w:val="1"/>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numPr>
                <w:ilvl w:val="0"/>
                <w:numId w:val="6"/>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numPr>
                <w:ilvl w:val="0"/>
                <w:numId w:val="48"/>
              </w:numPr>
              <w:spacing w:line="240" w:lineRule="auto"/>
              <w:ind w:left="720" w:hanging="720"/>
              <w:rPr>
                <w:sz w:val="36"/>
                <w:szCs w:val="3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D3">
      <w:pPr>
        <w:spacing w:line="360" w:lineRule="auto"/>
        <w:jc w:val="both"/>
        <w:rPr/>
      </w:pPr>
      <w:r w:rsidDel="00000000" w:rsidR="00000000" w:rsidRPr="00000000">
        <w:rPr>
          <w:b w:val="1"/>
          <w:rtl w:val="0"/>
        </w:rPr>
        <w:t xml:space="preserve">*</w:t>
      </w:r>
      <w:r w:rsidDel="00000000" w:rsidR="00000000" w:rsidRPr="00000000">
        <w:rPr>
          <w:rtl w:val="0"/>
        </w:rPr>
        <w:t xml:space="preserve">C= Conforme</w:t>
      </w:r>
    </w:p>
    <w:p w:rsidR="00000000" w:rsidDel="00000000" w:rsidP="00000000" w:rsidRDefault="00000000" w:rsidRPr="00000000" w14:paraId="000000D4">
      <w:pPr>
        <w:spacing w:line="360" w:lineRule="auto"/>
        <w:jc w:val="both"/>
        <w:rPr/>
      </w:pPr>
      <w:r w:rsidDel="00000000" w:rsidR="00000000" w:rsidRPr="00000000">
        <w:rPr>
          <w:rtl w:val="0"/>
        </w:rPr>
        <w:t xml:space="preserve">NC= Non Conforme</w:t>
      </w:r>
    </w:p>
    <w:p w:rsidR="00000000" w:rsidDel="00000000" w:rsidP="00000000" w:rsidRDefault="00000000" w:rsidRPr="00000000" w14:paraId="000000D5">
      <w:pPr>
        <w:spacing w:line="360" w:lineRule="auto"/>
        <w:jc w:val="both"/>
        <w:rPr/>
      </w:pPr>
      <w:r w:rsidDel="00000000" w:rsidR="00000000" w:rsidRPr="00000000">
        <w:rPr>
          <w:rtl w:val="0"/>
        </w:rPr>
        <w:t xml:space="preserve">NA. Non Applicabile</w:t>
      </w:r>
    </w:p>
    <w:p w:rsidR="00000000" w:rsidDel="00000000" w:rsidP="00000000" w:rsidRDefault="00000000" w:rsidRPr="00000000" w14:paraId="000000D6">
      <w:pPr>
        <w:spacing w:line="360" w:lineRule="auto"/>
        <w:jc w:val="both"/>
        <w:rPr/>
      </w:pPr>
      <w:r w:rsidDel="00000000" w:rsidR="00000000" w:rsidRPr="00000000">
        <w:rPr>
          <w:b w:val="1"/>
          <w:rtl w:val="0"/>
        </w:rPr>
        <w:t xml:space="preserve">**</w:t>
      </w:r>
      <w:r w:rsidDel="00000000" w:rsidR="00000000" w:rsidRPr="00000000">
        <w:rPr>
          <w:rtl w:val="0"/>
        </w:rPr>
        <w:t xml:space="preserve">Qualora vengano barrate le caselle “NC” o “NA”, inserire il dettaglio della motivazione nella colonna “Note”.</w:t>
      </w:r>
    </w:p>
    <w:p w:rsidR="00000000" w:rsidDel="00000000" w:rsidP="00000000" w:rsidRDefault="00000000" w:rsidRPr="00000000" w14:paraId="000000D7">
      <w:pPr>
        <w:spacing w:line="360" w:lineRule="auto"/>
        <w:jc w:val="both"/>
        <w:rPr>
          <w:sz w:val="36"/>
          <w:szCs w:val="36"/>
        </w:rPr>
      </w:pPr>
      <w:r w:rsidDel="00000000" w:rsidR="00000000" w:rsidRPr="00000000">
        <w:rPr>
          <w:b w:val="1"/>
          <w:rtl w:val="0"/>
        </w:rPr>
        <w:t xml:space="preserve">Attenzione: la scheda esplicativa sarà considerata valida solo se per ogni riga sarà presente il flag esclusivamente in una delle tre colonne “C”, “NC” o “NA”.</w:t>
      </w:r>
      <w:r w:rsidDel="00000000" w:rsidR="00000000" w:rsidRPr="00000000">
        <w:rPr>
          <w:rtl w:val="0"/>
        </w:rPr>
      </w:r>
    </w:p>
    <w:sectPr>
      <w:headerReference r:id="rId6" w:type="default"/>
      <w:footerReference r:id="rId7" w:type="default"/>
      <w:footerReference r:id="rId8" w:type="even"/>
      <w:pgSz w:h="11906" w:w="16838" w:orient="landscape"/>
      <w:pgMar w:bottom="899" w:top="1133.8582677165355" w:left="1134" w:right="1134" w:header="180" w:footer="2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Verifica requisiti comma 7A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highlight w:val="yellow"/>
        <w:rtl w:val="0"/>
      </w:rPr>
      <w:t xml:space="preserve">INSERIRE DENOMINAZIONE GIOCO</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ageBreakBefore w:val="0"/>
      <w:spacing w:line="240" w:lineRule="auto"/>
      <w:rPr>
        <w:b w:val="1"/>
        <w:i w:val="1"/>
        <w:sz w:val="28"/>
        <w:szCs w:val="28"/>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2" name=""/>
              <a:graphic>
                <a:graphicData uri="http://schemas.microsoft.com/office/word/2010/wordprocessingShape">
                  <wps:wsp>
                    <wps:cNvSpPr/>
                    <wps:cNvPr id="2" name="Shape 2"/>
                    <wps:spPr>
                      <a:xfrm>
                        <a:off x="4888800" y="3322800"/>
                        <a:ext cx="9144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39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1" name=""/>
              <a:graphic>
                <a:graphicData uri="http://schemas.microsoft.com/office/word/2010/wordprocessingShape">
                  <wps:wsp>
                    <wps:cNvSpPr/>
                    <wps:cNvPr id="2" name="Shape 2"/>
                    <wps:spPr>
                      <a:xfrm>
                        <a:off x="4888800" y="3322800"/>
                        <a:ext cx="9144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239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3" name=""/>
              <a:graphic>
                <a:graphicData uri="http://schemas.microsoft.com/office/word/2010/wordprocessingShape">
                  <wps:wsp>
                    <wps:cNvSpPr/>
                    <wps:cNvPr id="2" name="Shape 2"/>
                    <wps:spPr>
                      <a:xfrm>
                        <a:off x="4888800" y="3322800"/>
                        <a:ext cx="9144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-2552699</wp:posOffset>
              </wp:positionV>
              <wp:extent cx="923925" cy="9239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923925" cy="923925"/>
                      </a:xfrm>
                      <a:prstGeom prst="rect"/>
                      <a:ln/>
                    </pic:spPr>
                  </pic:pic>
                </a:graphicData>
              </a:graphic>
            </wp:anchor>
          </w:drawing>
        </mc:Fallback>
      </mc:AlternateContent>
    </w:r>
  </w:p>
  <w:tbl>
    <w:tblPr>
      <w:tblStyle w:val="Table3"/>
      <w:tblW w:w="14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6.666666666667"/>
      <w:gridCol w:w="4856.666666666667"/>
      <w:gridCol w:w="4856.666666666667"/>
      <w:tblGridChange w:id="0">
        <w:tblGrid>
          <w:gridCol w:w="4856.666666666667"/>
          <w:gridCol w:w="4856.666666666667"/>
          <w:gridCol w:w="4856.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spacing w:line="240" w:lineRule="auto"/>
            <w:rPr>
              <w:b w:val="1"/>
              <w:i w:val="1"/>
              <w:sz w:val="28"/>
              <w:szCs w:val="28"/>
              <w:highlight w:val="yellow"/>
            </w:rPr>
          </w:pPr>
          <w:r w:rsidDel="00000000" w:rsidR="00000000" w:rsidRPr="00000000">
            <w:rPr>
              <w:b w:val="1"/>
              <w:i w:val="1"/>
              <w:sz w:val="28"/>
              <w:szCs w:val="28"/>
              <w:highlight w:val="yellow"/>
              <w:rtl w:val="0"/>
            </w:rPr>
            <w:t xml:space="preserve">logo società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spacing w:line="240" w:lineRule="auto"/>
            <w:jc w:val="center"/>
            <w:rPr>
              <w:b w:val="1"/>
              <w:i w:val="1"/>
              <w:sz w:val="28"/>
              <w:szCs w:val="28"/>
            </w:rPr>
          </w:pPr>
          <w:r w:rsidDel="00000000" w:rsidR="00000000" w:rsidRPr="00000000">
            <w:rPr>
              <w:b w:val="1"/>
              <w:i w:val="1"/>
              <w:sz w:val="28"/>
              <w:szCs w:val="28"/>
              <w:rtl w:val="0"/>
            </w:rPr>
            <w:t xml:space="preserve">REQUISITI COMMA 7A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line="240" w:lineRule="auto"/>
            <w:jc w:val="right"/>
            <w:rPr>
              <w:b w:val="1"/>
              <w:i w:val="1"/>
              <w:sz w:val="28"/>
              <w:szCs w:val="28"/>
              <w:highlight w:val="yellow"/>
            </w:rPr>
          </w:pPr>
          <w:r w:rsidDel="00000000" w:rsidR="00000000" w:rsidRPr="00000000">
            <w:rPr>
              <w:b w:val="1"/>
              <w:i w:val="1"/>
              <w:sz w:val="28"/>
              <w:szCs w:val="28"/>
              <w:highlight w:val="yellow"/>
              <w:rtl w:val="0"/>
            </w:rPr>
            <w:t xml:space="preserve">MOD.3-SE. xx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b w:val="1"/>
              <w:i w:val="1"/>
              <w:sz w:val="28"/>
              <w:szCs w:val="28"/>
              <w:highlight w:val="yellow"/>
            </w:rPr>
          </w:pPr>
          <w:r w:rsidDel="00000000" w:rsidR="00000000" w:rsidRPr="00000000">
            <w:rPr>
              <w:b w:val="1"/>
              <w:i w:val="1"/>
              <w:sz w:val="28"/>
              <w:szCs w:val="28"/>
              <w:highlight w:val="yellow"/>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line="240" w:lineRule="auto"/>
            <w:jc w:val="center"/>
            <w:rPr>
              <w:b w:val="1"/>
              <w:i w:val="1"/>
              <w:sz w:val="18"/>
              <w:szCs w:val="18"/>
              <w:highlight w:val="yellow"/>
            </w:rPr>
          </w:pPr>
          <w:r w:rsidDel="00000000" w:rsidR="00000000" w:rsidRPr="00000000">
            <w:rPr>
              <w:b w:val="1"/>
              <w:i w:val="1"/>
              <w:sz w:val="18"/>
              <w:szCs w:val="18"/>
              <w:highlight w:val="yellow"/>
              <w:rtl w:val="0"/>
            </w:rPr>
            <w:t xml:space="preserve">Inserire denominazione apparecchio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line="240" w:lineRule="auto"/>
            <w:jc w:val="right"/>
            <w:rPr>
              <w:b w:val="1"/>
              <w:i w:val="1"/>
              <w:sz w:val="28"/>
              <w:szCs w:val="28"/>
              <w:highlight w:val="yellow"/>
            </w:rPr>
          </w:pPr>
          <w:r w:rsidDel="00000000" w:rsidR="00000000" w:rsidRPr="00000000">
            <w:rPr>
              <w:b w:val="1"/>
              <w:sz w:val="28"/>
              <w:szCs w:val="28"/>
              <w:highlight w:val="yellow"/>
              <w:rtl w:val="0"/>
            </w:rPr>
            <w:t xml:space="preserve">Rev. xx</w:t>
          </w:r>
          <w:r w:rsidDel="00000000" w:rsidR="00000000" w:rsidRPr="00000000">
            <w:rPr>
              <w:rtl w:val="0"/>
            </w:rPr>
          </w:r>
        </w:p>
      </w:tc>
    </w:tr>
  </w:tbl>
  <w:p w:rsidR="00000000" w:rsidDel="00000000" w:rsidP="00000000" w:rsidRDefault="00000000" w:rsidRPr="00000000" w14:paraId="000000DF">
    <w:pPr>
      <w:pageBreakBefore w:val="0"/>
      <w:spacing w:line="240" w:lineRule="auto"/>
      <w:rPr>
        <w:b w:val="1"/>
        <w:i w:val="1"/>
        <w:sz w:val="28"/>
        <w:szCs w:val="28"/>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